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32"/>
        </w:rPr>
      </w:pPr>
      <w:r>
        <w:rPr>
          <w:b/>
          <w:sz w:val="32"/>
        </w:rPr>
        <w:t>Henvendelse til Turneringsudvalget</w:t>
      </w:r>
    </w:p>
    <w:p>
      <w:pPr>
        <w:rPr>
          <w:b/>
        </w:rPr>
      </w:pPr>
    </w:p>
    <w:p>
      <w:pPr>
        <w:jc w:val="right"/>
        <w:rPr>
          <w:b/>
        </w:rPr>
      </w:pPr>
      <w:r>
        <w:rPr>
          <w:b/>
        </w:rPr>
        <w:t>Sagsnummer: ______</w:t>
      </w:r>
    </w:p>
    <w:p>
      <w:pPr>
        <w:jc w:val="right"/>
        <w:rPr>
          <w:b/>
        </w:rPr>
      </w:pPr>
      <w:r>
        <w:rPr>
          <w:b/>
        </w:rPr>
        <w:t>Modtaget dato: ______</w:t>
      </w:r>
    </w:p>
    <w:p>
      <w:pPr>
        <w:jc w:val="right"/>
      </w:pPr>
      <w:r>
        <w:t>(udfyldes af TU)</w:t>
      </w:r>
    </w:p>
    <w:p>
      <w:pPr>
        <w:rPr>
          <w:b/>
        </w:rPr>
      </w:pPr>
    </w:p>
    <w:p>
      <w:pPr>
        <w:rPr>
          <w:b/>
          <w:sz w:val="22"/>
        </w:rPr>
      </w:pPr>
      <w:r>
        <w:rPr>
          <w:b/>
          <w:sz w:val="22"/>
        </w:rPr>
        <w:t>Generelle oplysninger</w:t>
      </w:r>
    </w:p>
    <w:tbl>
      <w:tblPr>
        <w:tblStyle w:val="TableGrid"/>
        <w:tblW w:w="0" w:type="auto"/>
        <w:tblLook w:val="04A0" w:firstRow="1" w:lastRow="0" w:firstColumn="1" w:lastColumn="0" w:noHBand="0" w:noVBand="1"/>
      </w:tblPr>
      <w:tblGrid>
        <w:gridCol w:w="2376"/>
        <w:gridCol w:w="7402"/>
      </w:tblGrid>
      <w:tr>
        <w:tc>
          <w:tcPr>
            <w:tcW w:w="2376" w:type="dxa"/>
          </w:tcPr>
          <w:p>
            <w:r>
              <w:t>Navn:</w:t>
            </w:r>
          </w:p>
        </w:tc>
        <w:tc>
          <w:tcPr>
            <w:tcW w:w="7402" w:type="dxa"/>
          </w:tcPr>
          <w:p>
            <w:r>
              <w:t>Christian Guldbrandt Steffensen</w:t>
            </w:r>
          </w:p>
        </w:tc>
      </w:tr>
      <w:tr>
        <w:tc>
          <w:tcPr>
            <w:tcW w:w="2376" w:type="dxa"/>
          </w:tcPr>
          <w:p>
            <w:r>
              <w:t>Klub:</w:t>
            </w:r>
          </w:p>
        </w:tc>
        <w:tc>
          <w:tcPr>
            <w:tcW w:w="7402" w:type="dxa"/>
          </w:tcPr>
          <w:p>
            <w:r>
              <w:t>Aalborg Squashklub</w:t>
            </w:r>
          </w:p>
        </w:tc>
      </w:tr>
      <w:tr>
        <w:tc>
          <w:tcPr>
            <w:tcW w:w="2376" w:type="dxa"/>
          </w:tcPr>
          <w:p>
            <w:r>
              <w:t>Funktion i klubben:</w:t>
            </w:r>
          </w:p>
        </w:tc>
        <w:tc>
          <w:tcPr>
            <w:tcW w:w="7402" w:type="dxa"/>
          </w:tcPr>
          <w:p>
            <w:r>
              <w:t>Bestyrelsesmedlem</w:t>
            </w:r>
          </w:p>
        </w:tc>
      </w:tr>
      <w:tr>
        <w:tc>
          <w:tcPr>
            <w:tcW w:w="2376" w:type="dxa"/>
          </w:tcPr>
          <w:p>
            <w:r>
              <w:t>Mailadresse:</w:t>
            </w:r>
          </w:p>
        </w:tc>
        <w:tc>
          <w:tcPr>
            <w:tcW w:w="7402" w:type="dxa"/>
          </w:tcPr>
          <w:p>
            <w:r>
              <w:t>Christian.guld@hotmail.com</w:t>
            </w:r>
          </w:p>
        </w:tc>
      </w:tr>
      <w:tr>
        <w:tc>
          <w:tcPr>
            <w:tcW w:w="2376" w:type="dxa"/>
          </w:tcPr>
          <w:p>
            <w:r>
              <w:t>Dato for henvendelse:</w:t>
            </w:r>
          </w:p>
        </w:tc>
        <w:tc>
          <w:tcPr>
            <w:tcW w:w="7402" w:type="dxa"/>
          </w:tcPr>
          <w:p>
            <w:r>
              <w:t>17. april 2018</w:t>
            </w:r>
          </w:p>
        </w:tc>
      </w:tr>
    </w:tbl>
    <w:p/>
    <w:p>
      <w:pPr>
        <w:rPr>
          <w:b/>
        </w:rPr>
      </w:pPr>
      <w:r>
        <w:rPr>
          <w:b/>
          <w:sz w:val="22"/>
        </w:rPr>
        <w:t>Henvendelsen vedrører (sæt kryds):</w:t>
      </w:r>
    </w:p>
    <w:tbl>
      <w:tblPr>
        <w:tblStyle w:val="TableGrid"/>
        <w:tblW w:w="0" w:type="auto"/>
        <w:tblLook w:val="04A0" w:firstRow="1" w:lastRow="0" w:firstColumn="1" w:lastColumn="0" w:noHBand="0" w:noVBand="1"/>
      </w:tblPr>
      <w:tblGrid>
        <w:gridCol w:w="1929"/>
        <w:gridCol w:w="838"/>
        <w:gridCol w:w="1973"/>
        <w:gridCol w:w="650"/>
        <w:gridCol w:w="3562"/>
        <w:gridCol w:w="749"/>
      </w:tblGrid>
      <w:tr>
        <w:trPr>
          <w:trHeight w:val="476"/>
        </w:trPr>
        <w:tc>
          <w:tcPr>
            <w:tcW w:w="1929" w:type="dxa"/>
          </w:tcPr>
          <w:p>
            <w:r>
              <w:t>Spørgsmål:</w:t>
            </w:r>
          </w:p>
        </w:tc>
        <w:tc>
          <w:tcPr>
            <w:tcW w:w="838" w:type="dxa"/>
          </w:tcPr>
          <w:p/>
        </w:tc>
        <w:tc>
          <w:tcPr>
            <w:tcW w:w="1973" w:type="dxa"/>
          </w:tcPr>
          <w:p>
            <w:r>
              <w:t>En ny klage:</w:t>
            </w:r>
          </w:p>
        </w:tc>
        <w:tc>
          <w:tcPr>
            <w:tcW w:w="650" w:type="dxa"/>
          </w:tcPr>
          <w:p/>
        </w:tc>
        <w:tc>
          <w:tcPr>
            <w:tcW w:w="3562" w:type="dxa"/>
          </w:tcPr>
          <w:p>
            <w:r>
              <w:t>Tilføjelse til igangværende klage:</w:t>
            </w:r>
          </w:p>
        </w:tc>
        <w:tc>
          <w:tcPr>
            <w:tcW w:w="749" w:type="dxa"/>
          </w:tcPr>
          <w:p/>
        </w:tc>
      </w:tr>
      <w:tr>
        <w:trPr>
          <w:trHeight w:val="231"/>
        </w:trPr>
        <w:tc>
          <w:tcPr>
            <w:tcW w:w="1929" w:type="dxa"/>
          </w:tcPr>
          <w:p>
            <w:r>
              <w:t>Dispensation:</w:t>
            </w:r>
          </w:p>
        </w:tc>
        <w:tc>
          <w:tcPr>
            <w:tcW w:w="838" w:type="dxa"/>
          </w:tcPr>
          <w:p>
            <w:r>
              <w:t>x</w:t>
            </w:r>
          </w:p>
        </w:tc>
        <w:tc>
          <w:tcPr>
            <w:tcW w:w="1973" w:type="dxa"/>
          </w:tcPr>
          <w:p>
            <w:r>
              <w:t>Andet:</w:t>
            </w:r>
          </w:p>
        </w:tc>
        <w:tc>
          <w:tcPr>
            <w:tcW w:w="650" w:type="dxa"/>
          </w:tcPr>
          <w:p/>
        </w:tc>
        <w:tc>
          <w:tcPr>
            <w:tcW w:w="3562" w:type="dxa"/>
          </w:tcPr>
          <w:p/>
        </w:tc>
        <w:tc>
          <w:tcPr>
            <w:tcW w:w="749" w:type="dxa"/>
          </w:tcPr>
          <w:p/>
        </w:tc>
      </w:tr>
    </w:tbl>
    <w:p/>
    <w:p/>
    <w:p>
      <w:pPr>
        <w:rPr>
          <w:szCs w:val="18"/>
        </w:rPr>
      </w:pPr>
      <w:r>
        <w:rPr>
          <w:b/>
          <w:sz w:val="22"/>
        </w:rPr>
        <w:t xml:space="preserve">Dispensation: </w:t>
      </w:r>
    </w:p>
    <w:tbl>
      <w:tblPr>
        <w:tblStyle w:val="TableGrid"/>
        <w:tblW w:w="0" w:type="auto"/>
        <w:tblLook w:val="04A0" w:firstRow="1" w:lastRow="0" w:firstColumn="1" w:lastColumn="0" w:noHBand="0" w:noVBand="1"/>
      </w:tblPr>
      <w:tblGrid>
        <w:gridCol w:w="9886"/>
      </w:tblGrid>
      <w:tr>
        <w:tc>
          <w:tcPr>
            <w:tcW w:w="9886" w:type="dxa"/>
          </w:tcPr>
          <w:p>
            <w:pPr>
              <w:rPr>
                <w:szCs w:val="18"/>
              </w:rPr>
            </w:pPr>
            <w:r>
              <w:rPr>
                <w:b/>
                <w:szCs w:val="18"/>
              </w:rPr>
              <w:t>Regelhenvisning</w:t>
            </w:r>
            <w:r>
              <w:rPr>
                <w:szCs w:val="18"/>
              </w:rPr>
              <w:t xml:space="preserve"> (skal udfyldes, skriv den regel som danner grundlag for dispensationsansøgningen):</w:t>
            </w:r>
          </w:p>
          <w:p>
            <w:pPr>
              <w:rPr>
                <w:szCs w:val="18"/>
              </w:rPr>
            </w:pPr>
            <w:r>
              <w:rPr>
                <w:szCs w:val="18"/>
              </w:rPr>
              <w:t xml:space="preserve">§ 12. </w:t>
            </w:r>
            <w:proofErr w:type="spellStart"/>
            <w:r>
              <w:rPr>
                <w:szCs w:val="18"/>
              </w:rPr>
              <w:t>g-i</w:t>
            </w:r>
            <w:proofErr w:type="spellEnd"/>
            <w:r>
              <w:rPr>
                <w:szCs w:val="18"/>
              </w:rPr>
              <w:t xml:space="preserve"> </w:t>
            </w:r>
          </w:p>
          <w:p>
            <w:pPr>
              <w:rPr>
                <w:b/>
                <w:sz w:val="22"/>
              </w:rPr>
            </w:pPr>
          </w:p>
        </w:tc>
      </w:tr>
      <w:tr>
        <w:tc>
          <w:tcPr>
            <w:tcW w:w="9886" w:type="dxa"/>
          </w:tcPr>
          <w:p>
            <w:pPr>
              <w:rPr>
                <w:b/>
                <w:szCs w:val="18"/>
              </w:rPr>
            </w:pPr>
            <w:r>
              <w:rPr>
                <w:b/>
                <w:szCs w:val="18"/>
              </w:rPr>
              <w:t>Formål med dispensation</w:t>
            </w:r>
            <w:r>
              <w:rPr>
                <w:szCs w:val="18"/>
              </w:rPr>
              <w:t xml:space="preserve"> (skriv, hvad der ønskes opnået):</w:t>
            </w:r>
          </w:p>
          <w:p>
            <w:pPr>
              <w:rPr>
                <w:szCs w:val="18"/>
              </w:rPr>
            </w:pPr>
            <w:r>
              <w:rPr>
                <w:szCs w:val="18"/>
              </w:rPr>
              <w:t>Aalborg Squashklub vil søge om dispensation om at rykke op til 1. division Vest i stedet for 2. division Midt/Nord, som holdet har kvalificeret sig til.</w:t>
            </w:r>
          </w:p>
          <w:p>
            <w:pPr>
              <w:rPr>
                <w:szCs w:val="18"/>
              </w:rPr>
            </w:pPr>
          </w:p>
          <w:p>
            <w:pPr>
              <w:rPr>
                <w:szCs w:val="18"/>
              </w:rPr>
            </w:pPr>
            <w:r>
              <w:rPr>
                <w:szCs w:val="18"/>
              </w:rPr>
              <w:t>Spillere til rådighed i sæson 2018-19:</w:t>
            </w:r>
          </w:p>
          <w:p>
            <w:pPr>
              <w:rPr>
                <w:szCs w:val="18"/>
              </w:rPr>
            </w:pPr>
            <w:r>
              <w:rPr>
                <w:szCs w:val="18"/>
              </w:rPr>
              <w:t>Christian Guldbrandt Steffensen - 20 i Danmark</w:t>
            </w:r>
          </w:p>
          <w:p>
            <w:pPr>
              <w:rPr>
                <w:szCs w:val="18"/>
              </w:rPr>
            </w:pPr>
            <w:r>
              <w:rPr>
                <w:szCs w:val="18"/>
              </w:rPr>
              <w:t>Christian Frølund - 58 i Danmark</w:t>
            </w:r>
          </w:p>
          <w:p>
            <w:pPr>
              <w:rPr>
                <w:szCs w:val="18"/>
              </w:rPr>
            </w:pPr>
            <w:r>
              <w:rPr>
                <w:szCs w:val="18"/>
              </w:rPr>
              <w:t>Brian Krebs -</w:t>
            </w:r>
          </w:p>
          <w:p>
            <w:pPr>
              <w:rPr>
                <w:szCs w:val="18"/>
              </w:rPr>
            </w:pPr>
            <w:r>
              <w:rPr>
                <w:szCs w:val="18"/>
              </w:rPr>
              <w:t>Lars Rasmussen - 163 i Danmark</w:t>
            </w:r>
          </w:p>
          <w:p>
            <w:pPr>
              <w:rPr>
                <w:szCs w:val="18"/>
              </w:rPr>
            </w:pPr>
            <w:r>
              <w:rPr>
                <w:szCs w:val="18"/>
              </w:rPr>
              <w:t>Steven G. Nielsen - 271 i Danmark</w:t>
            </w:r>
          </w:p>
          <w:p>
            <w:pPr>
              <w:rPr>
                <w:szCs w:val="18"/>
              </w:rPr>
            </w:pPr>
          </w:p>
          <w:p>
            <w:pPr>
              <w:rPr>
                <w:szCs w:val="18"/>
              </w:rPr>
            </w:pPr>
            <w:r>
              <w:rPr>
                <w:szCs w:val="18"/>
              </w:rPr>
              <w:t xml:space="preserve">Den sportslige begrundelse for vi søger dispensation om at rykke op i 1. division, er, vi har fået tilgang af spillere igennem sæsonen, som har niveau til langt mere end 2. division. </w:t>
            </w:r>
          </w:p>
          <w:p>
            <w:pPr>
              <w:rPr>
                <w:szCs w:val="18"/>
              </w:rPr>
            </w:pPr>
          </w:p>
          <w:p>
            <w:pPr>
              <w:pStyle w:val="ListParagraph"/>
              <w:numPr>
                <w:ilvl w:val="0"/>
                <w:numId w:val="21"/>
              </w:numPr>
              <w:rPr>
                <w:szCs w:val="18"/>
              </w:rPr>
            </w:pPr>
            <w:r>
              <w:rPr>
                <w:szCs w:val="18"/>
              </w:rPr>
              <w:t xml:space="preserve">Christian Guldbrandt Steffensen er skiftet til klubben, og i sæsonen 2016-17 lå han i top 10 på DK-ranglisten og spillede elitedivision for Birkerød Squashklub. </w:t>
            </w:r>
          </w:p>
          <w:p>
            <w:pPr>
              <w:pStyle w:val="ListParagraph"/>
              <w:numPr>
                <w:ilvl w:val="0"/>
                <w:numId w:val="21"/>
              </w:numPr>
              <w:rPr>
                <w:szCs w:val="18"/>
              </w:rPr>
            </w:pPr>
            <w:r>
              <w:rPr>
                <w:szCs w:val="18"/>
              </w:rPr>
              <w:t>Christian Frølund er i september 2017 igen begyndt at spille squash. Han lå for få sæsoner siden i top 20 i Danmark og nåede bl.a. til kvartfinalen til Senior DM i Herre Mester i 2012, og han er tilbage på samme niveau som tidligere. I denne sæson har han vundet flere Herre A turneringer.</w:t>
            </w:r>
          </w:p>
          <w:p>
            <w:pPr>
              <w:pStyle w:val="ListParagraph"/>
              <w:numPr>
                <w:ilvl w:val="0"/>
                <w:numId w:val="21"/>
              </w:numPr>
              <w:rPr>
                <w:szCs w:val="18"/>
              </w:rPr>
            </w:pPr>
            <w:r>
              <w:rPr>
                <w:szCs w:val="18"/>
              </w:rPr>
              <w:t xml:space="preserve">Fra næste sæson vil Brian Krebs også vende tilbage igen. Han har tidligere spillet 1. division, hvilket var sidste gang at Aalborg var at finde i 1. division. </w:t>
            </w:r>
          </w:p>
          <w:p>
            <w:pPr>
              <w:pStyle w:val="ListParagraph"/>
              <w:numPr>
                <w:ilvl w:val="0"/>
                <w:numId w:val="21"/>
              </w:numPr>
              <w:rPr>
                <w:szCs w:val="18"/>
              </w:rPr>
            </w:pPr>
            <w:r>
              <w:rPr>
                <w:szCs w:val="18"/>
              </w:rPr>
              <w:t xml:space="preserve">Rasmussen være holdets 4. single. Lars har været uovervindelig på de tre første singler i 3. division Midt/Nord. Lars vandt Herre B rækken til Odenses Senior Cup tilbage i september måned. </w:t>
            </w:r>
          </w:p>
          <w:p>
            <w:pPr>
              <w:pStyle w:val="ListParagraph"/>
              <w:numPr>
                <w:ilvl w:val="0"/>
                <w:numId w:val="21"/>
              </w:numPr>
              <w:rPr>
                <w:szCs w:val="18"/>
              </w:rPr>
            </w:pPr>
            <w:r>
              <w:rPr>
                <w:szCs w:val="18"/>
              </w:rPr>
              <w:t>Steven G. Nielsen vil være reserve i tilfælde af afbud fra en af de 4 øvrige spillere.</w:t>
            </w:r>
          </w:p>
          <w:p>
            <w:pPr>
              <w:rPr>
                <w:szCs w:val="18"/>
              </w:rPr>
            </w:pPr>
          </w:p>
          <w:p>
            <w:pPr>
              <w:rPr>
                <w:szCs w:val="18"/>
              </w:rPr>
            </w:pPr>
            <w:r>
              <w:rPr>
                <w:szCs w:val="18"/>
              </w:rPr>
              <w:t xml:space="preserve">Samtlige spillere med undtagelse af Brian Krebs har spillet hele sæsonen i 3. Division Midt/Nord (Christian Steffensen fra årsskiftet). Det har hverken været noget værd for Aalborg eller modstanderne. I 2. division vil der komme mere modstand, men stadig meget begrænset især til holdets to bedste singler i form af </w:t>
            </w:r>
            <w:r>
              <w:rPr>
                <w:szCs w:val="18"/>
              </w:rPr>
              <w:lastRenderedPageBreak/>
              <w:t>Christian Guldbrandt Steffensen og Christian Frølund. Brian Krebs på 3. singlen vil heller ikke få meget modstand i 2. division. Lars Rasmussen vil få modstand i 2. division, men det forventes, at han vinder flere kampe, end han taber.</w:t>
            </w:r>
          </w:p>
          <w:p>
            <w:pPr>
              <w:rPr>
                <w:szCs w:val="18"/>
              </w:rPr>
            </w:pPr>
          </w:p>
          <w:p>
            <w:pPr>
              <w:rPr>
                <w:szCs w:val="18"/>
              </w:rPr>
            </w:pPr>
            <w:r>
              <w:rPr>
                <w:szCs w:val="18"/>
              </w:rPr>
              <w:t xml:space="preserve">Det vil formentlig være ligeså demotiverende for holdene i 2. division, som det har været for holdene i 3. division, når de har mødt os. Det bedste for alle hold er at have nogenlunde balance i en division.     </w:t>
            </w:r>
          </w:p>
          <w:p>
            <w:pPr>
              <w:rPr>
                <w:szCs w:val="18"/>
              </w:rPr>
            </w:pPr>
          </w:p>
        </w:tc>
      </w:tr>
    </w:tbl>
    <w:p>
      <w:pPr>
        <w:rPr>
          <w:b/>
          <w:sz w:val="22"/>
        </w:rPr>
      </w:pPr>
    </w:p>
    <w:p>
      <w:pPr>
        <w:rPr>
          <w:b/>
          <w:sz w:val="22"/>
        </w:rPr>
      </w:pPr>
      <w:r>
        <w:rPr>
          <w:b/>
          <w:sz w:val="22"/>
        </w:rPr>
        <w:t>Andet:</w:t>
      </w:r>
    </w:p>
    <w:tbl>
      <w:tblPr>
        <w:tblStyle w:val="TableGrid"/>
        <w:tblW w:w="0" w:type="auto"/>
        <w:tblLook w:val="04A0" w:firstRow="1" w:lastRow="0" w:firstColumn="1" w:lastColumn="0" w:noHBand="0" w:noVBand="1"/>
      </w:tblPr>
      <w:tblGrid>
        <w:gridCol w:w="9886"/>
      </w:tblGrid>
      <w:tr>
        <w:tc>
          <w:tcPr>
            <w:tcW w:w="9886" w:type="dxa"/>
          </w:tcPr>
          <w:p>
            <w:pPr>
              <w:rPr>
                <w:szCs w:val="18"/>
              </w:rPr>
            </w:pPr>
            <w:r>
              <w:rPr>
                <w:szCs w:val="18"/>
              </w:rPr>
              <w:t>Beskriv hvad henvendelsen drejer sig om, og hvad der ønskes opnået:</w:t>
            </w:r>
          </w:p>
          <w:p>
            <w:pPr>
              <w:rPr>
                <w:szCs w:val="18"/>
              </w:rPr>
            </w:pPr>
          </w:p>
          <w:p>
            <w:pPr>
              <w:rPr>
                <w:szCs w:val="18"/>
              </w:rPr>
            </w:pPr>
          </w:p>
        </w:tc>
      </w:tr>
    </w:tbl>
    <w:p>
      <w:pPr>
        <w:rPr>
          <w:szCs w:val="18"/>
        </w:rPr>
      </w:pPr>
    </w:p>
    <w:p>
      <w:pPr>
        <w:rPr>
          <w:szCs w:val="18"/>
        </w:rPr>
      </w:pPr>
    </w:p>
    <w:p>
      <w:pPr>
        <w:rPr>
          <w:b/>
          <w:sz w:val="22"/>
        </w:rPr>
      </w:pPr>
      <w:r>
        <w:rPr>
          <w:b/>
          <w:sz w:val="22"/>
        </w:rPr>
        <w:t>TU's afgørelse:</w:t>
      </w:r>
    </w:p>
    <w:tbl>
      <w:tblPr>
        <w:tblStyle w:val="TableGrid"/>
        <w:tblW w:w="0" w:type="auto"/>
        <w:tblLook w:val="04A0" w:firstRow="1" w:lastRow="0" w:firstColumn="1" w:lastColumn="0" w:noHBand="0" w:noVBand="1"/>
      </w:tblPr>
      <w:tblGrid>
        <w:gridCol w:w="9886"/>
      </w:tblGrid>
      <w:tr>
        <w:tc>
          <w:tcPr>
            <w:tcW w:w="9886" w:type="dxa"/>
          </w:tcPr>
          <w:p>
            <w:pPr>
              <w:rPr>
                <w:b/>
                <w:sz w:val="22"/>
              </w:rPr>
            </w:pPr>
            <w:r>
              <w:rPr>
                <w:b/>
                <w:sz w:val="22"/>
              </w:rPr>
              <w:t>Konklusion</w:t>
            </w:r>
          </w:p>
        </w:tc>
      </w:tr>
      <w:tr>
        <w:tc>
          <w:tcPr>
            <w:tcW w:w="9886" w:type="dxa"/>
          </w:tcPr>
          <w:p>
            <w:pPr>
              <w:rPr>
                <w:sz w:val="22"/>
              </w:rPr>
            </w:pPr>
            <w:r>
              <w:rPr>
                <w:sz w:val="22"/>
              </w:rPr>
              <w:t xml:space="preserve">På baggrund af nedenstående tildeles Ålborg </w:t>
            </w:r>
            <w:r>
              <w:rPr>
                <w:b/>
                <w:sz w:val="22"/>
              </w:rPr>
              <w:t>ikke</w:t>
            </w:r>
            <w:r>
              <w:rPr>
                <w:sz w:val="22"/>
              </w:rPr>
              <w:t xml:space="preserve"> plads i 1. division Vest</w:t>
            </w:r>
          </w:p>
          <w:p>
            <w:pPr>
              <w:rPr>
                <w:b/>
                <w:sz w:val="22"/>
              </w:rPr>
            </w:pPr>
          </w:p>
          <w:p>
            <w:pPr>
              <w:rPr>
                <w:b/>
                <w:sz w:val="22"/>
              </w:rPr>
            </w:pPr>
          </w:p>
        </w:tc>
      </w:tr>
      <w:tr>
        <w:tc>
          <w:tcPr>
            <w:tcW w:w="9886" w:type="dxa"/>
          </w:tcPr>
          <w:p>
            <w:pPr>
              <w:rPr>
                <w:b/>
                <w:sz w:val="22"/>
              </w:rPr>
            </w:pPr>
            <w:r>
              <w:rPr>
                <w:b/>
                <w:sz w:val="22"/>
              </w:rPr>
              <w:t>Begrundelse</w:t>
            </w:r>
          </w:p>
        </w:tc>
      </w:tr>
      <w:tr>
        <w:tc>
          <w:tcPr>
            <w:tcW w:w="9886" w:type="dxa"/>
          </w:tcPr>
          <w:p>
            <w:pPr>
              <w:rPr>
                <w:sz w:val="22"/>
              </w:rPr>
            </w:pPr>
            <w:r>
              <w:rPr>
                <w:sz w:val="22"/>
              </w:rPr>
              <w:t>TU har i forhold til afgørelsen forholdt sig til §12 b. i regler for Danmarksturneringen der lyder:</w:t>
            </w:r>
          </w:p>
          <w:p>
            <w:pPr>
              <w:rPr>
                <w:sz w:val="22"/>
              </w:rPr>
            </w:pPr>
          </w:p>
          <w:p>
            <w:pPr>
              <w:rPr>
                <w:i/>
                <w:sz w:val="22"/>
              </w:rPr>
            </w:pPr>
            <w:r>
              <w:rPr>
                <w:i/>
                <w:sz w:val="22"/>
              </w:rPr>
              <w:t>Resultatet af oprykningspil samt den øvrige slutstilling i divisionerne benyttes til at udfylde tomme pladser i overliggende rækker.</w:t>
            </w:r>
          </w:p>
          <w:p>
            <w:pPr>
              <w:rPr>
                <w:i/>
                <w:sz w:val="22"/>
              </w:rPr>
            </w:pPr>
          </w:p>
          <w:p>
            <w:pPr>
              <w:rPr>
                <w:i/>
                <w:sz w:val="22"/>
              </w:rPr>
            </w:pPr>
            <w:r>
              <w:rPr>
                <w:i/>
                <w:sz w:val="22"/>
              </w:rPr>
              <w:t>Resultatet af oprykningsspillet til 1. div vest. var som følgende.</w:t>
            </w:r>
          </w:p>
          <w:p>
            <w:pPr>
              <w:pStyle w:val="ListParagraph"/>
              <w:numPr>
                <w:ilvl w:val="0"/>
                <w:numId w:val="23"/>
              </w:numPr>
              <w:rPr>
                <w:i/>
                <w:sz w:val="22"/>
              </w:rPr>
            </w:pPr>
            <w:r>
              <w:rPr>
                <w:i/>
                <w:sz w:val="22"/>
              </w:rPr>
              <w:t>Silkeborg (rykkede direkte op)</w:t>
            </w:r>
          </w:p>
          <w:p>
            <w:pPr>
              <w:pStyle w:val="ListParagraph"/>
              <w:numPr>
                <w:ilvl w:val="0"/>
                <w:numId w:val="23"/>
              </w:numPr>
              <w:rPr>
                <w:i/>
                <w:sz w:val="22"/>
              </w:rPr>
            </w:pPr>
            <w:r>
              <w:rPr>
                <w:i/>
                <w:sz w:val="22"/>
              </w:rPr>
              <w:t>Skovbakken 3 (blev i 1. division Vest)</w:t>
            </w:r>
          </w:p>
          <w:p>
            <w:pPr>
              <w:pStyle w:val="ListParagraph"/>
              <w:numPr>
                <w:ilvl w:val="0"/>
                <w:numId w:val="23"/>
              </w:numPr>
              <w:rPr>
                <w:i/>
                <w:sz w:val="22"/>
              </w:rPr>
            </w:pPr>
            <w:r>
              <w:rPr>
                <w:i/>
                <w:sz w:val="22"/>
              </w:rPr>
              <w:t>Esbjerg</w:t>
            </w:r>
          </w:p>
          <w:p>
            <w:pPr>
              <w:pStyle w:val="ListParagraph"/>
              <w:numPr>
                <w:ilvl w:val="0"/>
                <w:numId w:val="23"/>
              </w:numPr>
              <w:rPr>
                <w:i/>
                <w:sz w:val="22"/>
              </w:rPr>
            </w:pPr>
            <w:r>
              <w:rPr>
                <w:i/>
                <w:sz w:val="22"/>
              </w:rPr>
              <w:t>Horsens</w:t>
            </w:r>
          </w:p>
          <w:p>
            <w:pPr>
              <w:pStyle w:val="ListParagraph"/>
              <w:numPr>
                <w:ilvl w:val="0"/>
                <w:numId w:val="23"/>
              </w:numPr>
              <w:rPr>
                <w:i/>
                <w:sz w:val="22"/>
              </w:rPr>
            </w:pPr>
            <w:r>
              <w:rPr>
                <w:i/>
                <w:sz w:val="22"/>
              </w:rPr>
              <w:t>Kolding</w:t>
            </w:r>
          </w:p>
          <w:p>
            <w:pPr>
              <w:rPr>
                <w:i/>
                <w:sz w:val="22"/>
              </w:rPr>
            </w:pPr>
          </w:p>
          <w:p>
            <w:pPr>
              <w:rPr>
                <w:sz w:val="22"/>
              </w:rPr>
            </w:pPr>
            <w:r>
              <w:rPr>
                <w:sz w:val="22"/>
              </w:rPr>
              <w:t>I den kommende sæson er der to ledige pladser i 1. div. Vest grundet omstruktureringen i elitedivision havde OSC og OSMK efterladt to tomme pladser.</w:t>
            </w:r>
          </w:p>
          <w:p>
            <w:pPr>
              <w:rPr>
                <w:sz w:val="22"/>
              </w:rPr>
            </w:pPr>
          </w:p>
          <w:p>
            <w:pPr>
              <w:rPr>
                <w:b/>
                <w:sz w:val="22"/>
              </w:rPr>
            </w:pPr>
            <w:r>
              <w:rPr>
                <w:b/>
                <w:sz w:val="22"/>
              </w:rPr>
              <w:t>I denne situation er Esbjerg og dernæst Horsens de næste i rækken til at udfylde de tomme pladser. Esbjerg og Horsens må derfor anses som klubberne,</w:t>
            </w:r>
            <w:bookmarkStart w:id="0" w:name="_GoBack"/>
            <w:bookmarkEnd w:id="0"/>
            <w:r>
              <w:rPr>
                <w:b/>
                <w:sz w:val="22"/>
              </w:rPr>
              <w:t xml:space="preserve"> der skal udfylde de tomme pladser.</w:t>
            </w:r>
          </w:p>
          <w:p>
            <w:pPr>
              <w:rPr>
                <w:sz w:val="22"/>
              </w:rPr>
            </w:pPr>
            <w:r>
              <w:rPr>
                <w:sz w:val="22"/>
              </w:rPr>
              <w:t xml:space="preserve"> </w:t>
            </w:r>
          </w:p>
          <w:p>
            <w:pPr>
              <w:rPr>
                <w:sz w:val="22"/>
              </w:rPr>
            </w:pPr>
            <w:r>
              <w:rPr>
                <w:sz w:val="22"/>
              </w:rPr>
              <w:t xml:space="preserve">§12g lyder: </w:t>
            </w:r>
          </w:p>
          <w:p>
            <w:pPr>
              <w:rPr>
                <w:i/>
                <w:sz w:val="22"/>
              </w:rPr>
            </w:pPr>
            <w:r>
              <w:rPr>
                <w:i/>
                <w:sz w:val="22"/>
              </w:rPr>
              <w:t xml:space="preserve">I tilfælde hvor der efter de generelle regler for op- og nedrykning er ledige plader i en division, kan en klub inden 15. juni ansøge Turneringsudvalget om at blive tildelt en ledig plads. TU tager stilling en sådan ansøgning baseret på klubbens dokumentation af, hvilke spillere den har til rådighed. Såfremt der er flere ansøgere end der er ledige </w:t>
            </w:r>
            <w:r>
              <w:rPr>
                <w:i/>
                <w:sz w:val="22"/>
              </w:rPr>
              <w:lastRenderedPageBreak/>
              <w:t>pladser, kan TU afgøre oprykningen gennem kvalifikationskampe.</w:t>
            </w:r>
          </w:p>
          <w:p>
            <w:pPr>
              <w:pStyle w:val="ListParagraph"/>
              <w:rPr>
                <w:i/>
                <w:sz w:val="22"/>
              </w:rPr>
            </w:pPr>
          </w:p>
          <w:p>
            <w:pPr>
              <w:rPr>
                <w:sz w:val="22"/>
              </w:rPr>
            </w:pPr>
            <w:r>
              <w:rPr>
                <w:sz w:val="22"/>
              </w:rPr>
              <w:t>I tilfælde af at der havde været flere end to ledige pladser i divisionen yderligere, havde TU tildelt Kolding den næste plads og derefter taget stilling til om Ålborg havde styrken til at overtage den næste plads.</w:t>
            </w:r>
          </w:p>
          <w:p>
            <w:pPr>
              <w:rPr>
                <w:b/>
                <w:sz w:val="22"/>
              </w:rPr>
            </w:pPr>
          </w:p>
        </w:tc>
      </w:tr>
      <w:tr>
        <w:tc>
          <w:tcPr>
            <w:tcW w:w="9886" w:type="dxa"/>
          </w:tcPr>
          <w:p>
            <w:pPr>
              <w:rPr>
                <w:b/>
                <w:sz w:val="22"/>
              </w:rPr>
            </w:pPr>
            <w:r>
              <w:rPr>
                <w:b/>
                <w:sz w:val="22"/>
              </w:rPr>
              <w:lastRenderedPageBreak/>
              <w:t>Dato for afgørelse</w:t>
            </w:r>
          </w:p>
        </w:tc>
      </w:tr>
      <w:tr>
        <w:tc>
          <w:tcPr>
            <w:tcW w:w="9886" w:type="dxa"/>
          </w:tcPr>
          <w:p>
            <w:pPr>
              <w:rPr>
                <w:b/>
                <w:sz w:val="22"/>
              </w:rPr>
            </w:pPr>
            <w:r>
              <w:rPr>
                <w:b/>
                <w:sz w:val="22"/>
              </w:rPr>
              <w:t>5. juli 2018</w:t>
            </w:r>
          </w:p>
        </w:tc>
      </w:tr>
    </w:tbl>
    <w:p>
      <w:pPr>
        <w:rPr>
          <w:b/>
          <w:sz w:val="22"/>
        </w:rPr>
      </w:pPr>
    </w:p>
    <w:p>
      <w:pPr>
        <w:rPr>
          <w:b/>
          <w:sz w:val="22"/>
        </w:rPr>
      </w:pPr>
    </w:p>
    <w:p>
      <w:pPr>
        <w:rPr>
          <w:b/>
          <w:szCs w:val="18"/>
        </w:rPr>
      </w:pPr>
      <w:r>
        <w:rPr>
          <w:b/>
          <w:szCs w:val="18"/>
        </w:rPr>
        <w:t xml:space="preserve">Uddrag af ”Regler for sanktioner, dispensationer og klager”: </w:t>
      </w:r>
    </w:p>
    <w:p>
      <w:pPr>
        <w:rPr>
          <w:szCs w:val="18"/>
        </w:rPr>
      </w:pPr>
    </w:p>
    <w:p>
      <w:pPr>
        <w:rPr>
          <w:szCs w:val="18"/>
        </w:rPr>
      </w:pPr>
      <w:r>
        <w:rPr>
          <w:szCs w:val="18"/>
        </w:rPr>
        <w:t>Stk. 3:</w:t>
      </w:r>
    </w:p>
    <w:p>
      <w:pPr>
        <w:rPr>
          <w:szCs w:val="18"/>
        </w:rPr>
      </w:pPr>
      <w:r>
        <w:rPr>
          <w:szCs w:val="18"/>
        </w:rPr>
        <w:t xml:space="preserve">Alle afgørelser skal være skriftlige og skal være ledsaget af en begrundelse. </w:t>
      </w:r>
    </w:p>
    <w:p>
      <w:pPr>
        <w:rPr>
          <w:szCs w:val="18"/>
        </w:rPr>
      </w:pPr>
      <w:r>
        <w:rPr>
          <w:szCs w:val="18"/>
        </w:rPr>
        <w:t>Stk. 4:</w:t>
      </w:r>
    </w:p>
    <w:p>
      <w:pPr>
        <w:rPr>
          <w:szCs w:val="18"/>
        </w:rPr>
      </w:pPr>
      <w:r>
        <w:rPr>
          <w:szCs w:val="18"/>
        </w:rPr>
        <w:t>Alle afgørelser skal være ledsaget af en klagevejledning.</w:t>
      </w:r>
    </w:p>
    <w:p>
      <w:pPr>
        <w:rPr>
          <w:szCs w:val="18"/>
        </w:rPr>
      </w:pPr>
      <w:r>
        <w:rPr>
          <w:szCs w:val="18"/>
        </w:rPr>
        <w:t>Stk. 5:</w:t>
      </w:r>
    </w:p>
    <w:p>
      <w:pPr>
        <w:rPr>
          <w:szCs w:val="18"/>
        </w:rPr>
      </w:pPr>
      <w:r>
        <w:rPr>
          <w:szCs w:val="18"/>
        </w:rPr>
        <w:t>Alle afgørelser kan inden 14 dage appelleres til appeludvalget.</w:t>
      </w:r>
    </w:p>
    <w:p>
      <w:pPr>
        <w:rPr>
          <w:szCs w:val="18"/>
        </w:rPr>
      </w:pPr>
      <w:r>
        <w:rPr>
          <w:szCs w:val="18"/>
        </w:rPr>
        <w:t>Stk. 7:</w:t>
      </w:r>
    </w:p>
    <w:p>
      <w:pPr>
        <w:rPr>
          <w:szCs w:val="18"/>
        </w:rPr>
      </w:pPr>
      <w:r>
        <w:rPr>
          <w:szCs w:val="18"/>
        </w:rPr>
        <w:t xml:space="preserve">Afgørelser skal som udgangspunkt foreligge inden 10 dage efter, at udvalget er blevet gjort bekendt med en klages sagsakter. Konkrete omstændigheder kan dog begrunde, at denne frist ikke kan overholdes. </w:t>
      </w:r>
    </w:p>
    <w:p>
      <w:pPr>
        <w:rPr>
          <w:szCs w:val="18"/>
        </w:rPr>
      </w:pPr>
    </w:p>
    <w:p>
      <w:pPr>
        <w:rPr>
          <w:b/>
          <w:szCs w:val="18"/>
        </w:rPr>
      </w:pPr>
      <w:r>
        <w:rPr>
          <w:b/>
          <w:szCs w:val="18"/>
        </w:rPr>
        <w:t>Klagevejledning:</w:t>
      </w:r>
    </w:p>
    <w:p>
      <w:pPr>
        <w:rPr>
          <w:szCs w:val="18"/>
        </w:rPr>
      </w:pPr>
      <w:r>
        <w:rPr>
          <w:szCs w:val="18"/>
        </w:rPr>
        <w:t xml:space="preserve">Eventuel appel fremsendes via email til </w:t>
      </w:r>
      <w:hyperlink r:id="rId7" w:history="1">
        <w:r>
          <w:rPr>
            <w:rStyle w:val="Hyperlink"/>
            <w:szCs w:val="18"/>
          </w:rPr>
          <w:t>squash@dansksquash.dk</w:t>
        </w:r>
      </w:hyperlink>
      <w:r>
        <w:rPr>
          <w:szCs w:val="18"/>
        </w:rPr>
        <w:t>.</w:t>
      </w:r>
    </w:p>
    <w:p>
      <w:pPr>
        <w:rPr>
          <w:szCs w:val="18"/>
        </w:rPr>
      </w:pPr>
    </w:p>
    <w:sectPr>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B8B1BA"/>
    <w:lvl w:ilvl="0">
      <w:start w:val="1"/>
      <w:numFmt w:val="decimal"/>
      <w:lvlText w:val="%1."/>
      <w:lvlJc w:val="left"/>
      <w:pPr>
        <w:tabs>
          <w:tab w:val="num" w:pos="1492"/>
        </w:tabs>
        <w:ind w:left="1492" w:hanging="360"/>
      </w:pPr>
    </w:lvl>
  </w:abstractNum>
  <w:abstractNum w:abstractNumId="1">
    <w:nsid w:val="FFFFFF7D"/>
    <w:multiLevelType w:val="singleLevel"/>
    <w:tmpl w:val="AB824980"/>
    <w:lvl w:ilvl="0">
      <w:start w:val="1"/>
      <w:numFmt w:val="decimal"/>
      <w:lvlText w:val="%1."/>
      <w:lvlJc w:val="left"/>
      <w:pPr>
        <w:tabs>
          <w:tab w:val="num" w:pos="1209"/>
        </w:tabs>
        <w:ind w:left="1209" w:hanging="360"/>
      </w:pPr>
    </w:lvl>
  </w:abstractNum>
  <w:abstractNum w:abstractNumId="2">
    <w:nsid w:val="FFFFFF7E"/>
    <w:multiLevelType w:val="singleLevel"/>
    <w:tmpl w:val="1D06BF0C"/>
    <w:lvl w:ilvl="0">
      <w:start w:val="1"/>
      <w:numFmt w:val="decimal"/>
      <w:lvlText w:val="%1."/>
      <w:lvlJc w:val="left"/>
      <w:pPr>
        <w:tabs>
          <w:tab w:val="num" w:pos="926"/>
        </w:tabs>
        <w:ind w:left="926" w:hanging="360"/>
      </w:pPr>
    </w:lvl>
  </w:abstractNum>
  <w:abstractNum w:abstractNumId="3">
    <w:nsid w:val="FFFFFF7F"/>
    <w:multiLevelType w:val="singleLevel"/>
    <w:tmpl w:val="5562E5F2"/>
    <w:lvl w:ilvl="0">
      <w:start w:val="1"/>
      <w:numFmt w:val="decimal"/>
      <w:lvlText w:val="%1."/>
      <w:lvlJc w:val="left"/>
      <w:pPr>
        <w:tabs>
          <w:tab w:val="num" w:pos="643"/>
        </w:tabs>
        <w:ind w:left="643" w:hanging="360"/>
      </w:pPr>
    </w:lvl>
  </w:abstractNum>
  <w:abstractNum w:abstractNumId="4">
    <w:nsid w:val="FFFFFF80"/>
    <w:multiLevelType w:val="singleLevel"/>
    <w:tmpl w:val="C0CA96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FC96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640C1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860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6E9360"/>
    <w:lvl w:ilvl="0">
      <w:start w:val="1"/>
      <w:numFmt w:val="decimal"/>
      <w:lvlText w:val="%1."/>
      <w:lvlJc w:val="left"/>
      <w:pPr>
        <w:tabs>
          <w:tab w:val="num" w:pos="360"/>
        </w:tabs>
        <w:ind w:left="360" w:hanging="360"/>
      </w:pPr>
    </w:lvl>
  </w:abstractNum>
  <w:abstractNum w:abstractNumId="9">
    <w:nsid w:val="FFFFFF89"/>
    <w:multiLevelType w:val="singleLevel"/>
    <w:tmpl w:val="78968AB4"/>
    <w:lvl w:ilvl="0">
      <w:start w:val="1"/>
      <w:numFmt w:val="bullet"/>
      <w:lvlText w:val=""/>
      <w:lvlJc w:val="left"/>
      <w:pPr>
        <w:tabs>
          <w:tab w:val="num" w:pos="360"/>
        </w:tabs>
        <w:ind w:left="360" w:hanging="360"/>
      </w:pPr>
      <w:rPr>
        <w:rFonts w:ascii="Symbol" w:hAnsi="Symbol" w:hint="default"/>
      </w:rPr>
    </w:lvl>
  </w:abstractNum>
  <w:abstractNum w:abstractNumId="10">
    <w:nsid w:val="006728D6"/>
    <w:multiLevelType w:val="hybridMultilevel"/>
    <w:tmpl w:val="0EB8FF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0A713663"/>
    <w:multiLevelType w:val="hybridMultilevel"/>
    <w:tmpl w:val="6C267E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nsid w:val="0E2376C4"/>
    <w:multiLevelType w:val="hybridMultilevel"/>
    <w:tmpl w:val="98965180"/>
    <w:lvl w:ilvl="0" w:tplc="2B16386A">
      <w:start w:val="1"/>
      <w:numFmt w:val="lowerLetter"/>
      <w:pStyle w:val="Alfabetliste"/>
      <w:lvlText w:val="%1."/>
      <w:lvlJc w:val="left"/>
      <w:pPr>
        <w:ind w:left="587"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102458D0"/>
    <w:multiLevelType w:val="hybridMultilevel"/>
    <w:tmpl w:val="2262611E"/>
    <w:lvl w:ilvl="0" w:tplc="4A6C892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11564928"/>
    <w:multiLevelType w:val="hybridMultilevel"/>
    <w:tmpl w:val="D188FD64"/>
    <w:lvl w:ilvl="0" w:tplc="1BFE4228">
      <w:start w:val="1"/>
      <w:numFmt w:val="bullet"/>
      <w:pStyle w:val="Bullet1"/>
      <w:lvlText w:val=""/>
      <w:lvlJc w:val="left"/>
      <w:pPr>
        <w:ind w:left="36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3E76ED5"/>
    <w:multiLevelType w:val="hybridMultilevel"/>
    <w:tmpl w:val="758C13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3D1053FC"/>
    <w:multiLevelType w:val="hybridMultilevel"/>
    <w:tmpl w:val="704484A2"/>
    <w:lvl w:ilvl="0" w:tplc="3B664362">
      <w:start w:val="1"/>
      <w:numFmt w:val="bullet"/>
      <w:pStyle w:val="Bullet2"/>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7763503B"/>
    <w:multiLevelType w:val="hybridMultilevel"/>
    <w:tmpl w:val="DF742360"/>
    <w:lvl w:ilvl="0" w:tplc="A536AA6E">
      <w:start w:val="1"/>
      <w:numFmt w:val="lowerLetter"/>
      <w:lvlText w:val="%1."/>
      <w:lvlJc w:val="left"/>
      <w:pPr>
        <w:ind w:left="587"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7"/>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14"/>
  </w:num>
  <w:num w:numId="17">
    <w:abstractNumId w:val="12"/>
  </w:num>
  <w:num w:numId="18">
    <w:abstractNumId w:val="14"/>
  </w:num>
  <w:num w:numId="19">
    <w:abstractNumId w:val="16"/>
  </w:num>
  <w:num w:numId="20">
    <w:abstractNumId w:val="13"/>
  </w:num>
  <w:num w:numId="21">
    <w:abstractNumId w:val="11"/>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3"/>
  <w:defaultTabStop w:val="1304"/>
  <w:hyphenationZone w:val="425"/>
  <w:drawingGridHorizontalSpacing w:val="9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pPr>
      <w:spacing w:after="0" w:line="288" w:lineRule="auto"/>
    </w:pPr>
    <w:rPr>
      <w:rFonts w:ascii="Verdana" w:hAnsi="Verdana" w:cstheme="minorBidi"/>
      <w:sz w:val="18"/>
      <w:lang w:val="da-DK" w:bidi="ar-SA"/>
    </w:rPr>
  </w:style>
  <w:style w:type="paragraph" w:styleId="Heading1">
    <w:name w:val="heading 1"/>
    <w:basedOn w:val="Normal"/>
    <w:next w:val="Normal"/>
    <w:link w:val="Heading1Char"/>
    <w:uiPriority w:val="9"/>
    <w:qFormat/>
    <w:pPr>
      <w:outlineLvl w:val="0"/>
    </w:pPr>
    <w:rPr>
      <w:b/>
      <w:caps/>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outlineLvl w:val="2"/>
    </w:pPr>
    <w:rPr>
      <w:caps/>
    </w:rPr>
  </w:style>
  <w:style w:type="paragraph" w:styleId="Heading4">
    <w:name w:val="heading 4"/>
    <w:basedOn w:val="Normal"/>
    <w:next w:val="Normal"/>
    <w:link w:val="Heading4Char"/>
    <w:uiPriority w:val="9"/>
    <w:unhideWhenUsed/>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Verdana" w:eastAsiaTheme="minorHAnsi" w:hAnsi="Verdana" w:cstheme="minorBidi"/>
      <w:b/>
      <w:caps/>
      <w:sz w:val="18"/>
      <w:lang w:val="da-DK" w:bidi="ar-SA"/>
    </w:rPr>
  </w:style>
  <w:style w:type="paragraph" w:customStyle="1" w:styleId="Alfabetliste">
    <w:name w:val="Alfabetliste"/>
    <w:basedOn w:val="Normal"/>
    <w:qFormat/>
    <w:pPr>
      <w:numPr>
        <w:numId w:val="17"/>
      </w:numPr>
      <w:tabs>
        <w:tab w:val="left" w:pos="454"/>
      </w:tabs>
      <w:ind w:left="454" w:hanging="227"/>
    </w:pPr>
  </w:style>
  <w:style w:type="paragraph" w:customStyle="1" w:styleId="Planche">
    <w:name w:val="Planche"/>
    <w:basedOn w:val="Normal"/>
    <w:next w:val="Normal"/>
    <w:pPr>
      <w:spacing w:line="240" w:lineRule="auto"/>
    </w:pPr>
    <w:rPr>
      <w:sz w:val="44"/>
    </w:rPr>
  </w:style>
  <w:style w:type="character" w:customStyle="1" w:styleId="Heading2Char">
    <w:name w:val="Heading 2 Char"/>
    <w:basedOn w:val="DefaultParagraphFont"/>
    <w:link w:val="Heading2"/>
    <w:uiPriority w:val="9"/>
    <w:rPr>
      <w:rFonts w:ascii="Verdana" w:eastAsiaTheme="minorHAnsi" w:hAnsi="Verdana" w:cstheme="minorBidi"/>
      <w:b/>
      <w:sz w:val="18"/>
      <w:lang w:val="da-DK" w:bidi="ar-SA"/>
    </w:rPr>
  </w:style>
  <w:style w:type="character" w:customStyle="1" w:styleId="Heading3Char">
    <w:name w:val="Heading 3 Char"/>
    <w:basedOn w:val="DefaultParagraphFont"/>
    <w:link w:val="Heading3"/>
    <w:uiPriority w:val="9"/>
    <w:rPr>
      <w:rFonts w:ascii="Verdana" w:eastAsiaTheme="minorHAnsi" w:hAnsi="Verdana" w:cstheme="minorBidi"/>
      <w:caps/>
      <w:sz w:val="18"/>
      <w:lang w:val="da-DK" w:bidi="ar-SA"/>
    </w:rPr>
  </w:style>
  <w:style w:type="paragraph" w:customStyle="1" w:styleId="Bullet1">
    <w:name w:val="Bullet 1"/>
    <w:basedOn w:val="Normal"/>
    <w:qFormat/>
    <w:pPr>
      <w:numPr>
        <w:numId w:val="18"/>
      </w:numPr>
      <w:tabs>
        <w:tab w:val="left" w:pos="227"/>
      </w:tabs>
      <w:ind w:left="227" w:hanging="227"/>
    </w:pPr>
  </w:style>
  <w:style w:type="paragraph" w:customStyle="1" w:styleId="Bullet2">
    <w:name w:val="Bullet 2"/>
    <w:basedOn w:val="Bullet1"/>
    <w:qFormat/>
    <w:pPr>
      <w:numPr>
        <w:numId w:val="19"/>
      </w:numPr>
      <w:tabs>
        <w:tab w:val="clear" w:pos="227"/>
        <w:tab w:val="left" w:pos="454"/>
      </w:tabs>
      <w:ind w:left="454" w:hanging="227"/>
    </w:pPr>
  </w:style>
  <w:style w:type="paragraph" w:customStyle="1" w:styleId="Fodnotebilledtekst">
    <w:name w:val="Fodnote/billedtekst"/>
    <w:basedOn w:val="Normal"/>
    <w:qFormat/>
    <w:rPr>
      <w:sz w:val="16"/>
    </w:rPr>
  </w:style>
  <w:style w:type="paragraph" w:customStyle="1" w:styleId="Indryk">
    <w:name w:val="Indryk"/>
    <w:basedOn w:val="Normal"/>
    <w:qFormat/>
    <w:pPr>
      <w:tabs>
        <w:tab w:val="left" w:pos="454"/>
      </w:tabs>
      <w:ind w:left="454" w:hanging="454"/>
    </w:pPr>
  </w:style>
  <w:style w:type="paragraph" w:customStyle="1" w:styleId="Indrykindryk">
    <w:name w:val="Indryk + indryk"/>
    <w:basedOn w:val="Indryk"/>
    <w:qFormat/>
    <w:pPr>
      <w:tabs>
        <w:tab w:val="clear" w:pos="454"/>
        <w:tab w:val="left" w:pos="907"/>
      </w:tabs>
      <w:ind w:left="908"/>
    </w:pPr>
  </w:style>
  <w:style w:type="paragraph" w:customStyle="1" w:styleId="Tabeltekst">
    <w:name w:val="Tabeltekst"/>
    <w:basedOn w:val="Normal"/>
    <w:qFormat/>
    <w:rPr>
      <w:sz w:val="16"/>
    </w:rPr>
  </w:style>
  <w:style w:type="paragraph" w:styleId="Footer">
    <w:name w:val="footer"/>
    <w:basedOn w:val="Normal"/>
    <w:link w:val="FooterChar"/>
    <w:uiPriority w:val="99"/>
    <w:semiHidden/>
    <w:unhideWhenUsed/>
    <w:pPr>
      <w:tabs>
        <w:tab w:val="right" w:pos="7938"/>
      </w:tabs>
      <w:spacing w:line="220" w:lineRule="exact"/>
    </w:pPr>
    <w:rPr>
      <w:sz w:val="14"/>
    </w:rPr>
  </w:style>
  <w:style w:type="character" w:customStyle="1" w:styleId="FooterChar">
    <w:name w:val="Footer Char"/>
    <w:basedOn w:val="DefaultParagraphFont"/>
    <w:link w:val="Footer"/>
    <w:uiPriority w:val="99"/>
    <w:semiHidden/>
    <w:rPr>
      <w:rFonts w:ascii="Verdana" w:hAnsi="Verdana" w:cstheme="minorBidi"/>
      <w:sz w:val="14"/>
      <w:lang w:val="da-DK" w:bidi="ar-SA"/>
    </w:rPr>
  </w:style>
  <w:style w:type="character" w:customStyle="1" w:styleId="Heading4Char">
    <w:name w:val="Heading 4 Char"/>
    <w:basedOn w:val="DefaultParagraphFont"/>
    <w:link w:val="Heading4"/>
    <w:uiPriority w:val="9"/>
    <w:rPr>
      <w:rFonts w:ascii="Verdana" w:hAnsi="Verdana"/>
      <w:bCs/>
      <w:i/>
      <w:iCs/>
      <w:sz w:val="18"/>
      <w:lang w:val="da-DK" w:bidi="ar-SA"/>
    </w:rPr>
  </w:style>
  <w:style w:type="character" w:customStyle="1" w:styleId="Heading5Char">
    <w:name w:val="Heading 5 Char"/>
    <w:basedOn w:val="DefaultParagraphFont"/>
    <w:link w:val="Heading5"/>
    <w:uiPriority w:val="9"/>
    <w:semiHidden/>
    <w:rPr>
      <w:rFonts w:eastAsiaTheme="majorEastAsia"/>
      <w:color w:val="243F60" w:themeColor="accent1" w:themeShade="7F"/>
      <w:sz w:val="18"/>
      <w:lang w:val="da-DK" w:bidi="ar-SA"/>
    </w:rPr>
  </w:style>
  <w:style w:type="character" w:customStyle="1" w:styleId="Heading6Char">
    <w:name w:val="Heading 6 Char"/>
    <w:basedOn w:val="DefaultParagraphFont"/>
    <w:link w:val="Heading6"/>
    <w:uiPriority w:val="9"/>
    <w:semiHidden/>
    <w:rPr>
      <w:rFonts w:ascii="Verdana" w:hAnsi="Verdana" w:cstheme="minorBidi"/>
      <w:caps/>
      <w:color w:val="943634" w:themeColor="accent2" w:themeShade="BF"/>
      <w:spacing w:val="10"/>
      <w:sz w:val="18"/>
      <w:lang w:val="da-DK" w:bidi="ar-SA"/>
    </w:rPr>
  </w:style>
  <w:style w:type="character" w:customStyle="1" w:styleId="Heading7Char">
    <w:name w:val="Heading 7 Char"/>
    <w:basedOn w:val="DefaultParagraphFont"/>
    <w:link w:val="Heading7"/>
    <w:uiPriority w:val="9"/>
    <w:semiHidden/>
    <w:rPr>
      <w:rFonts w:ascii="Verdana" w:hAnsi="Verdana" w:cstheme="minorBidi"/>
      <w:i/>
      <w:iCs/>
      <w:caps/>
      <w:color w:val="943634" w:themeColor="accent2" w:themeShade="BF"/>
      <w:spacing w:val="10"/>
      <w:sz w:val="18"/>
      <w:lang w:val="da-DK" w:bidi="ar-SA"/>
    </w:rPr>
  </w:style>
  <w:style w:type="character" w:customStyle="1" w:styleId="Heading8Char">
    <w:name w:val="Heading 8 Char"/>
    <w:basedOn w:val="DefaultParagraphFont"/>
    <w:link w:val="Heading8"/>
    <w:uiPriority w:val="9"/>
    <w:semiHidden/>
    <w:rPr>
      <w:rFonts w:ascii="Verdana" w:hAnsi="Verdana" w:cstheme="minorBidi"/>
      <w:caps/>
      <w:spacing w:val="10"/>
      <w:sz w:val="20"/>
      <w:szCs w:val="20"/>
      <w:lang w:val="da-DK" w:bidi="ar-SA"/>
    </w:rPr>
  </w:style>
  <w:style w:type="character" w:customStyle="1" w:styleId="Heading9Char">
    <w:name w:val="Heading 9 Char"/>
    <w:basedOn w:val="DefaultParagraphFont"/>
    <w:link w:val="Heading9"/>
    <w:uiPriority w:val="9"/>
    <w:semiHidden/>
    <w:rPr>
      <w:rFonts w:ascii="Verdana" w:hAnsi="Verdana" w:cstheme="minorBidi"/>
      <w:i/>
      <w:iCs/>
      <w:caps/>
      <w:spacing w:val="10"/>
      <w:sz w:val="20"/>
      <w:szCs w:val="20"/>
      <w:lang w:val="da-DK" w:bidi="ar-SA"/>
    </w:rPr>
  </w:style>
  <w:style w:type="paragraph" w:styleId="Caption">
    <w:name w:val="caption"/>
    <w:basedOn w:val="Normal"/>
    <w:next w:val="Normal"/>
    <w:uiPriority w:val="35"/>
    <w:semiHidden/>
    <w:unhideWhenUsed/>
    <w:qFormat/>
    <w:rPr>
      <w:caps/>
      <w:spacing w:val="10"/>
      <w:szCs w:val="18"/>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pPr>
      <w:spacing w:after="0" w:line="288" w:lineRule="auto"/>
    </w:pPr>
    <w:rPr>
      <w:rFonts w:ascii="Verdana" w:hAnsi="Verdana" w:cstheme="minorBidi"/>
      <w:sz w:val="18"/>
      <w:lang w:val="da-DK" w:bidi="ar-SA"/>
    </w:rPr>
  </w:style>
  <w:style w:type="paragraph" w:styleId="Heading1">
    <w:name w:val="heading 1"/>
    <w:basedOn w:val="Normal"/>
    <w:next w:val="Normal"/>
    <w:link w:val="Heading1Char"/>
    <w:uiPriority w:val="9"/>
    <w:qFormat/>
    <w:pPr>
      <w:outlineLvl w:val="0"/>
    </w:pPr>
    <w:rPr>
      <w:b/>
      <w:caps/>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outlineLvl w:val="2"/>
    </w:pPr>
    <w:rPr>
      <w:caps/>
    </w:rPr>
  </w:style>
  <w:style w:type="paragraph" w:styleId="Heading4">
    <w:name w:val="heading 4"/>
    <w:basedOn w:val="Normal"/>
    <w:next w:val="Normal"/>
    <w:link w:val="Heading4Char"/>
    <w:uiPriority w:val="9"/>
    <w:unhideWhenUsed/>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Verdana" w:eastAsiaTheme="minorHAnsi" w:hAnsi="Verdana" w:cstheme="minorBidi"/>
      <w:b/>
      <w:caps/>
      <w:sz w:val="18"/>
      <w:lang w:val="da-DK" w:bidi="ar-SA"/>
    </w:rPr>
  </w:style>
  <w:style w:type="paragraph" w:customStyle="1" w:styleId="Alfabetliste">
    <w:name w:val="Alfabetliste"/>
    <w:basedOn w:val="Normal"/>
    <w:qFormat/>
    <w:pPr>
      <w:numPr>
        <w:numId w:val="17"/>
      </w:numPr>
      <w:tabs>
        <w:tab w:val="left" w:pos="454"/>
      </w:tabs>
      <w:ind w:left="454" w:hanging="227"/>
    </w:pPr>
  </w:style>
  <w:style w:type="paragraph" w:customStyle="1" w:styleId="Planche">
    <w:name w:val="Planche"/>
    <w:basedOn w:val="Normal"/>
    <w:next w:val="Normal"/>
    <w:pPr>
      <w:spacing w:line="240" w:lineRule="auto"/>
    </w:pPr>
    <w:rPr>
      <w:sz w:val="44"/>
    </w:rPr>
  </w:style>
  <w:style w:type="character" w:customStyle="1" w:styleId="Heading2Char">
    <w:name w:val="Heading 2 Char"/>
    <w:basedOn w:val="DefaultParagraphFont"/>
    <w:link w:val="Heading2"/>
    <w:uiPriority w:val="9"/>
    <w:rPr>
      <w:rFonts w:ascii="Verdana" w:eastAsiaTheme="minorHAnsi" w:hAnsi="Verdana" w:cstheme="minorBidi"/>
      <w:b/>
      <w:sz w:val="18"/>
      <w:lang w:val="da-DK" w:bidi="ar-SA"/>
    </w:rPr>
  </w:style>
  <w:style w:type="character" w:customStyle="1" w:styleId="Heading3Char">
    <w:name w:val="Heading 3 Char"/>
    <w:basedOn w:val="DefaultParagraphFont"/>
    <w:link w:val="Heading3"/>
    <w:uiPriority w:val="9"/>
    <w:rPr>
      <w:rFonts w:ascii="Verdana" w:eastAsiaTheme="minorHAnsi" w:hAnsi="Verdana" w:cstheme="minorBidi"/>
      <w:caps/>
      <w:sz w:val="18"/>
      <w:lang w:val="da-DK" w:bidi="ar-SA"/>
    </w:rPr>
  </w:style>
  <w:style w:type="paragraph" w:customStyle="1" w:styleId="Bullet1">
    <w:name w:val="Bullet 1"/>
    <w:basedOn w:val="Normal"/>
    <w:qFormat/>
    <w:pPr>
      <w:numPr>
        <w:numId w:val="18"/>
      </w:numPr>
      <w:tabs>
        <w:tab w:val="left" w:pos="227"/>
      </w:tabs>
      <w:ind w:left="227" w:hanging="227"/>
    </w:pPr>
  </w:style>
  <w:style w:type="paragraph" w:customStyle="1" w:styleId="Bullet2">
    <w:name w:val="Bullet 2"/>
    <w:basedOn w:val="Bullet1"/>
    <w:qFormat/>
    <w:pPr>
      <w:numPr>
        <w:numId w:val="19"/>
      </w:numPr>
      <w:tabs>
        <w:tab w:val="clear" w:pos="227"/>
        <w:tab w:val="left" w:pos="454"/>
      </w:tabs>
      <w:ind w:left="454" w:hanging="227"/>
    </w:pPr>
  </w:style>
  <w:style w:type="paragraph" w:customStyle="1" w:styleId="Fodnotebilledtekst">
    <w:name w:val="Fodnote/billedtekst"/>
    <w:basedOn w:val="Normal"/>
    <w:qFormat/>
    <w:rPr>
      <w:sz w:val="16"/>
    </w:rPr>
  </w:style>
  <w:style w:type="paragraph" w:customStyle="1" w:styleId="Indryk">
    <w:name w:val="Indryk"/>
    <w:basedOn w:val="Normal"/>
    <w:qFormat/>
    <w:pPr>
      <w:tabs>
        <w:tab w:val="left" w:pos="454"/>
      </w:tabs>
      <w:ind w:left="454" w:hanging="454"/>
    </w:pPr>
  </w:style>
  <w:style w:type="paragraph" w:customStyle="1" w:styleId="Indrykindryk">
    <w:name w:val="Indryk + indryk"/>
    <w:basedOn w:val="Indryk"/>
    <w:qFormat/>
    <w:pPr>
      <w:tabs>
        <w:tab w:val="clear" w:pos="454"/>
        <w:tab w:val="left" w:pos="907"/>
      </w:tabs>
      <w:ind w:left="908"/>
    </w:pPr>
  </w:style>
  <w:style w:type="paragraph" w:customStyle="1" w:styleId="Tabeltekst">
    <w:name w:val="Tabeltekst"/>
    <w:basedOn w:val="Normal"/>
    <w:qFormat/>
    <w:rPr>
      <w:sz w:val="16"/>
    </w:rPr>
  </w:style>
  <w:style w:type="paragraph" w:styleId="Footer">
    <w:name w:val="footer"/>
    <w:basedOn w:val="Normal"/>
    <w:link w:val="FooterChar"/>
    <w:uiPriority w:val="99"/>
    <w:semiHidden/>
    <w:unhideWhenUsed/>
    <w:pPr>
      <w:tabs>
        <w:tab w:val="right" w:pos="7938"/>
      </w:tabs>
      <w:spacing w:line="220" w:lineRule="exact"/>
    </w:pPr>
    <w:rPr>
      <w:sz w:val="14"/>
    </w:rPr>
  </w:style>
  <w:style w:type="character" w:customStyle="1" w:styleId="FooterChar">
    <w:name w:val="Footer Char"/>
    <w:basedOn w:val="DefaultParagraphFont"/>
    <w:link w:val="Footer"/>
    <w:uiPriority w:val="99"/>
    <w:semiHidden/>
    <w:rPr>
      <w:rFonts w:ascii="Verdana" w:hAnsi="Verdana" w:cstheme="minorBidi"/>
      <w:sz w:val="14"/>
      <w:lang w:val="da-DK" w:bidi="ar-SA"/>
    </w:rPr>
  </w:style>
  <w:style w:type="character" w:customStyle="1" w:styleId="Heading4Char">
    <w:name w:val="Heading 4 Char"/>
    <w:basedOn w:val="DefaultParagraphFont"/>
    <w:link w:val="Heading4"/>
    <w:uiPriority w:val="9"/>
    <w:rPr>
      <w:rFonts w:ascii="Verdana" w:hAnsi="Verdana"/>
      <w:bCs/>
      <w:i/>
      <w:iCs/>
      <w:sz w:val="18"/>
      <w:lang w:val="da-DK" w:bidi="ar-SA"/>
    </w:rPr>
  </w:style>
  <w:style w:type="character" w:customStyle="1" w:styleId="Heading5Char">
    <w:name w:val="Heading 5 Char"/>
    <w:basedOn w:val="DefaultParagraphFont"/>
    <w:link w:val="Heading5"/>
    <w:uiPriority w:val="9"/>
    <w:semiHidden/>
    <w:rPr>
      <w:rFonts w:eastAsiaTheme="majorEastAsia"/>
      <w:color w:val="243F60" w:themeColor="accent1" w:themeShade="7F"/>
      <w:sz w:val="18"/>
      <w:lang w:val="da-DK" w:bidi="ar-SA"/>
    </w:rPr>
  </w:style>
  <w:style w:type="character" w:customStyle="1" w:styleId="Heading6Char">
    <w:name w:val="Heading 6 Char"/>
    <w:basedOn w:val="DefaultParagraphFont"/>
    <w:link w:val="Heading6"/>
    <w:uiPriority w:val="9"/>
    <w:semiHidden/>
    <w:rPr>
      <w:rFonts w:ascii="Verdana" w:hAnsi="Verdana" w:cstheme="minorBidi"/>
      <w:caps/>
      <w:color w:val="943634" w:themeColor="accent2" w:themeShade="BF"/>
      <w:spacing w:val="10"/>
      <w:sz w:val="18"/>
      <w:lang w:val="da-DK" w:bidi="ar-SA"/>
    </w:rPr>
  </w:style>
  <w:style w:type="character" w:customStyle="1" w:styleId="Heading7Char">
    <w:name w:val="Heading 7 Char"/>
    <w:basedOn w:val="DefaultParagraphFont"/>
    <w:link w:val="Heading7"/>
    <w:uiPriority w:val="9"/>
    <w:semiHidden/>
    <w:rPr>
      <w:rFonts w:ascii="Verdana" w:hAnsi="Verdana" w:cstheme="minorBidi"/>
      <w:i/>
      <w:iCs/>
      <w:caps/>
      <w:color w:val="943634" w:themeColor="accent2" w:themeShade="BF"/>
      <w:spacing w:val="10"/>
      <w:sz w:val="18"/>
      <w:lang w:val="da-DK" w:bidi="ar-SA"/>
    </w:rPr>
  </w:style>
  <w:style w:type="character" w:customStyle="1" w:styleId="Heading8Char">
    <w:name w:val="Heading 8 Char"/>
    <w:basedOn w:val="DefaultParagraphFont"/>
    <w:link w:val="Heading8"/>
    <w:uiPriority w:val="9"/>
    <w:semiHidden/>
    <w:rPr>
      <w:rFonts w:ascii="Verdana" w:hAnsi="Verdana" w:cstheme="minorBidi"/>
      <w:caps/>
      <w:spacing w:val="10"/>
      <w:sz w:val="20"/>
      <w:szCs w:val="20"/>
      <w:lang w:val="da-DK" w:bidi="ar-SA"/>
    </w:rPr>
  </w:style>
  <w:style w:type="character" w:customStyle="1" w:styleId="Heading9Char">
    <w:name w:val="Heading 9 Char"/>
    <w:basedOn w:val="DefaultParagraphFont"/>
    <w:link w:val="Heading9"/>
    <w:uiPriority w:val="9"/>
    <w:semiHidden/>
    <w:rPr>
      <w:rFonts w:ascii="Verdana" w:hAnsi="Verdana" w:cstheme="minorBidi"/>
      <w:i/>
      <w:iCs/>
      <w:caps/>
      <w:spacing w:val="10"/>
      <w:sz w:val="20"/>
      <w:szCs w:val="20"/>
      <w:lang w:val="da-DK" w:bidi="ar-SA"/>
    </w:rPr>
  </w:style>
  <w:style w:type="paragraph" w:styleId="Caption">
    <w:name w:val="caption"/>
    <w:basedOn w:val="Normal"/>
    <w:next w:val="Normal"/>
    <w:uiPriority w:val="35"/>
    <w:semiHidden/>
    <w:unhideWhenUsed/>
    <w:qFormat/>
    <w:rPr>
      <w:caps/>
      <w:spacing w:val="10"/>
      <w:szCs w:val="18"/>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2475">
      <w:bodyDiv w:val="1"/>
      <w:marLeft w:val="0"/>
      <w:marRight w:val="0"/>
      <w:marTop w:val="0"/>
      <w:marBottom w:val="0"/>
      <w:divBdr>
        <w:top w:val="none" w:sz="0" w:space="0" w:color="auto"/>
        <w:left w:val="none" w:sz="0" w:space="0" w:color="auto"/>
        <w:bottom w:val="none" w:sz="0" w:space="0" w:color="auto"/>
        <w:right w:val="none" w:sz="0" w:space="0" w:color="auto"/>
      </w:divBdr>
      <w:divsChild>
        <w:div w:id="479226994">
          <w:marLeft w:val="0"/>
          <w:marRight w:val="0"/>
          <w:marTop w:val="0"/>
          <w:marBottom w:val="0"/>
          <w:divBdr>
            <w:top w:val="none" w:sz="0" w:space="0" w:color="auto"/>
            <w:left w:val="none" w:sz="0" w:space="0" w:color="auto"/>
            <w:bottom w:val="none" w:sz="0" w:space="0" w:color="auto"/>
            <w:right w:val="none" w:sz="0" w:space="0" w:color="auto"/>
          </w:divBdr>
        </w:div>
        <w:div w:id="1995646469">
          <w:marLeft w:val="0"/>
          <w:marRight w:val="0"/>
          <w:marTop w:val="0"/>
          <w:marBottom w:val="0"/>
          <w:divBdr>
            <w:top w:val="none" w:sz="0" w:space="0" w:color="auto"/>
            <w:left w:val="none" w:sz="0" w:space="0" w:color="auto"/>
            <w:bottom w:val="none" w:sz="0" w:space="0" w:color="auto"/>
            <w:right w:val="none" w:sz="0" w:space="0" w:color="auto"/>
          </w:divBdr>
        </w:div>
      </w:divsChild>
    </w:div>
    <w:div w:id="806246438">
      <w:bodyDiv w:val="1"/>
      <w:marLeft w:val="0"/>
      <w:marRight w:val="0"/>
      <w:marTop w:val="0"/>
      <w:marBottom w:val="0"/>
      <w:divBdr>
        <w:top w:val="none" w:sz="0" w:space="0" w:color="auto"/>
        <w:left w:val="none" w:sz="0" w:space="0" w:color="auto"/>
        <w:bottom w:val="none" w:sz="0" w:space="0" w:color="auto"/>
        <w:right w:val="none" w:sz="0" w:space="0" w:color="auto"/>
      </w:divBdr>
      <w:divsChild>
        <w:div w:id="2058820300">
          <w:marLeft w:val="0"/>
          <w:marRight w:val="0"/>
          <w:marTop w:val="0"/>
          <w:marBottom w:val="0"/>
          <w:divBdr>
            <w:top w:val="none" w:sz="0" w:space="0" w:color="auto"/>
            <w:left w:val="none" w:sz="0" w:space="0" w:color="auto"/>
            <w:bottom w:val="none" w:sz="0" w:space="0" w:color="auto"/>
            <w:right w:val="none" w:sz="0" w:space="0" w:color="auto"/>
          </w:divBdr>
        </w:div>
        <w:div w:id="429543378">
          <w:marLeft w:val="0"/>
          <w:marRight w:val="0"/>
          <w:marTop w:val="0"/>
          <w:marBottom w:val="0"/>
          <w:divBdr>
            <w:top w:val="none" w:sz="0" w:space="0" w:color="auto"/>
            <w:left w:val="none" w:sz="0" w:space="0" w:color="auto"/>
            <w:bottom w:val="none" w:sz="0" w:space="0" w:color="auto"/>
            <w:right w:val="none" w:sz="0" w:space="0" w:color="auto"/>
          </w:divBdr>
        </w:div>
        <w:div w:id="969165494">
          <w:marLeft w:val="0"/>
          <w:marRight w:val="0"/>
          <w:marTop w:val="0"/>
          <w:marBottom w:val="0"/>
          <w:divBdr>
            <w:top w:val="none" w:sz="0" w:space="0" w:color="auto"/>
            <w:left w:val="none" w:sz="0" w:space="0" w:color="auto"/>
            <w:bottom w:val="none" w:sz="0" w:space="0" w:color="auto"/>
            <w:right w:val="none" w:sz="0" w:space="0" w:color="auto"/>
          </w:divBdr>
        </w:div>
        <w:div w:id="873618828">
          <w:marLeft w:val="0"/>
          <w:marRight w:val="0"/>
          <w:marTop w:val="0"/>
          <w:marBottom w:val="0"/>
          <w:divBdr>
            <w:top w:val="none" w:sz="0" w:space="0" w:color="auto"/>
            <w:left w:val="none" w:sz="0" w:space="0" w:color="auto"/>
            <w:bottom w:val="none" w:sz="0" w:space="0" w:color="auto"/>
            <w:right w:val="none" w:sz="0" w:space="0" w:color="auto"/>
          </w:divBdr>
        </w:div>
        <w:div w:id="1982926051">
          <w:marLeft w:val="0"/>
          <w:marRight w:val="0"/>
          <w:marTop w:val="0"/>
          <w:marBottom w:val="0"/>
          <w:divBdr>
            <w:top w:val="none" w:sz="0" w:space="0" w:color="auto"/>
            <w:left w:val="none" w:sz="0" w:space="0" w:color="auto"/>
            <w:bottom w:val="none" w:sz="0" w:space="0" w:color="auto"/>
            <w:right w:val="none" w:sz="0" w:space="0" w:color="auto"/>
          </w:divBdr>
        </w:div>
        <w:div w:id="1898279451">
          <w:marLeft w:val="0"/>
          <w:marRight w:val="0"/>
          <w:marTop w:val="0"/>
          <w:marBottom w:val="0"/>
          <w:divBdr>
            <w:top w:val="none" w:sz="0" w:space="0" w:color="auto"/>
            <w:left w:val="none" w:sz="0" w:space="0" w:color="auto"/>
            <w:bottom w:val="none" w:sz="0" w:space="0" w:color="auto"/>
            <w:right w:val="none" w:sz="0" w:space="0" w:color="auto"/>
          </w:divBdr>
        </w:div>
      </w:divsChild>
    </w:div>
    <w:div w:id="987130707">
      <w:bodyDiv w:val="1"/>
      <w:marLeft w:val="0"/>
      <w:marRight w:val="0"/>
      <w:marTop w:val="0"/>
      <w:marBottom w:val="0"/>
      <w:divBdr>
        <w:top w:val="none" w:sz="0" w:space="0" w:color="auto"/>
        <w:left w:val="none" w:sz="0" w:space="0" w:color="auto"/>
        <w:bottom w:val="none" w:sz="0" w:space="0" w:color="auto"/>
        <w:right w:val="none" w:sz="0" w:space="0" w:color="auto"/>
      </w:divBdr>
      <w:divsChild>
        <w:div w:id="837160770">
          <w:marLeft w:val="0"/>
          <w:marRight w:val="0"/>
          <w:marTop w:val="0"/>
          <w:marBottom w:val="0"/>
          <w:divBdr>
            <w:top w:val="none" w:sz="0" w:space="0" w:color="auto"/>
            <w:left w:val="none" w:sz="0" w:space="0" w:color="auto"/>
            <w:bottom w:val="none" w:sz="0" w:space="0" w:color="auto"/>
            <w:right w:val="none" w:sz="0" w:space="0" w:color="auto"/>
          </w:divBdr>
        </w:div>
        <w:div w:id="1669213286">
          <w:marLeft w:val="0"/>
          <w:marRight w:val="0"/>
          <w:marTop w:val="0"/>
          <w:marBottom w:val="0"/>
          <w:divBdr>
            <w:top w:val="none" w:sz="0" w:space="0" w:color="auto"/>
            <w:left w:val="none" w:sz="0" w:space="0" w:color="auto"/>
            <w:bottom w:val="none" w:sz="0" w:space="0" w:color="auto"/>
            <w:right w:val="none" w:sz="0" w:space="0" w:color="auto"/>
          </w:divBdr>
        </w:div>
        <w:div w:id="1770731999">
          <w:marLeft w:val="0"/>
          <w:marRight w:val="0"/>
          <w:marTop w:val="0"/>
          <w:marBottom w:val="0"/>
          <w:divBdr>
            <w:top w:val="none" w:sz="0" w:space="0" w:color="auto"/>
            <w:left w:val="none" w:sz="0" w:space="0" w:color="auto"/>
            <w:bottom w:val="none" w:sz="0" w:space="0" w:color="auto"/>
            <w:right w:val="none" w:sz="0" w:space="0" w:color="auto"/>
          </w:divBdr>
        </w:div>
        <w:div w:id="1266886225">
          <w:marLeft w:val="0"/>
          <w:marRight w:val="0"/>
          <w:marTop w:val="0"/>
          <w:marBottom w:val="0"/>
          <w:divBdr>
            <w:top w:val="none" w:sz="0" w:space="0" w:color="auto"/>
            <w:left w:val="none" w:sz="0" w:space="0" w:color="auto"/>
            <w:bottom w:val="none" w:sz="0" w:space="0" w:color="auto"/>
            <w:right w:val="none" w:sz="0" w:space="0" w:color="auto"/>
          </w:divBdr>
        </w:div>
        <w:div w:id="65537204">
          <w:marLeft w:val="0"/>
          <w:marRight w:val="0"/>
          <w:marTop w:val="0"/>
          <w:marBottom w:val="0"/>
          <w:divBdr>
            <w:top w:val="none" w:sz="0" w:space="0" w:color="auto"/>
            <w:left w:val="none" w:sz="0" w:space="0" w:color="auto"/>
            <w:bottom w:val="none" w:sz="0" w:space="0" w:color="auto"/>
            <w:right w:val="none" w:sz="0" w:space="0" w:color="auto"/>
          </w:divBdr>
        </w:div>
        <w:div w:id="12925288">
          <w:marLeft w:val="0"/>
          <w:marRight w:val="0"/>
          <w:marTop w:val="0"/>
          <w:marBottom w:val="0"/>
          <w:divBdr>
            <w:top w:val="none" w:sz="0" w:space="0" w:color="auto"/>
            <w:left w:val="none" w:sz="0" w:space="0" w:color="auto"/>
            <w:bottom w:val="none" w:sz="0" w:space="0" w:color="auto"/>
            <w:right w:val="none" w:sz="0" w:space="0" w:color="auto"/>
          </w:divBdr>
        </w:div>
        <w:div w:id="177428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quash@dansksquash.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F044B-E4B0-4423-ADA0-08735C93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4336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Nykredit</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Guldbrandt</dc:creator>
  <cp:lastModifiedBy>Hansen, Soeren Boedker (WP TE D8G4 PMO)</cp:lastModifiedBy>
  <cp:revision>2</cp:revision>
  <dcterms:created xsi:type="dcterms:W3CDTF">2018-07-05T09:48:00Z</dcterms:created>
  <dcterms:modified xsi:type="dcterms:W3CDTF">2018-07-05T09:48:00Z</dcterms:modified>
</cp:coreProperties>
</file>